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Система "Электронный бюджет" принимает подписанные машиночитаемые доверенности, сформированные в соответствии с Единым форматом, разработанным Министерством цифрового развития, связи и массовых коммуникаций Российской Федерации и размещенным на сайте gosuslugi.ru.</w:t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Применение доверенности достигается за счет назначения сотруднику необходимых полномочий с типами Утверждение и Подписание из МЧД.</w:t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Сформировать МЧД можно:</w:t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36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на сайте ФНС </w:t>
      </w:r>
      <w:hyperlink r:id="rId2">
        <w:r>
          <w:rPr>
            <w:rStyle w:val="Hyperlink"/>
            <w:rFonts w:eastAsia="Times New Roman" w:cs="Times New Roman"/>
            <w:color w:val="000000"/>
            <w:sz w:val="28"/>
            <w:szCs w:val="28"/>
          </w:rPr>
          <w:t>https://m4d.nalog.gov.ru/emchd/create</w:t>
        </w:r>
      </w:hyperlink>
    </w:p>
    <w:p>
      <w:pPr>
        <w:pStyle w:val="ListParagraph"/>
        <w:numPr>
          <w:ilvl w:val="0"/>
          <w:numId w:val="0"/>
        </w:numPr>
        <w:spacing w:before="0" w:after="0"/>
        <w:ind w:hanging="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36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на сайте Госуслуг, инструкция описана в разделе </w:t>
      </w:r>
      <w:hyperlink r:id="rId3">
        <w:r>
          <w:rPr>
            <w:rStyle w:val="Hyperlink"/>
            <w:rFonts w:eastAsia="Times New Roman" w:cs="Times New Roman"/>
            <w:color w:val="000000"/>
            <w:sz w:val="28"/>
            <w:szCs w:val="28"/>
          </w:rPr>
          <w:t>https://partners.gosuslugi.ru/catalog/attorney</w:t>
        </w:r>
      </w:hyperlink>
    </w:p>
    <w:p>
      <w:pPr>
        <w:pStyle w:val="ListParagraph"/>
        <w:numPr>
          <w:ilvl w:val="0"/>
          <w:numId w:val="0"/>
        </w:numPr>
        <w:spacing w:before="0" w:after="0"/>
        <w:ind w:hanging="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before="0" w:after="0"/>
        <w:ind w:hanging="36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любом другом коммерческом сервисе, который интегрирован с </w:t>
      </w:r>
      <w:hyperlink r:id="rId4" w:tooltip="https://esnsi.gosuslugi.ru/classifiers/14526/">
        <w:r>
          <w:rPr>
            <w:rStyle w:val="Hyperlink"/>
            <w:rFonts w:eastAsia="Times New Roman" w:cs="Times New Roman"/>
            <w:color w:val="0000EE"/>
            <w:sz w:val="28"/>
            <w:szCs w:val="28"/>
            <w:u w:val="single"/>
          </w:rPr>
          <w:t>Классификатором полномочий</w:t>
        </w:r>
      </w:hyperlink>
      <w:r>
        <w:rPr>
          <w:rFonts w:eastAsia="Times New Roman" w:cs="Times New Roman"/>
          <w:color w:val="000000"/>
          <w:sz w:val="28"/>
          <w:szCs w:val="28"/>
        </w:rPr>
        <w:t> сайта Госуслуг, где размещены полномочия ГИИС "Электронный бюджет" для указания в МЧД.</w:t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Необходимая форма МЧД для работы — 003.</w:t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Обращаем внимание, что: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при Выборе полномочий для включения в МЧД необходимо выбирать полномочия из </w:t>
      </w:r>
      <w:hyperlink r:id="rId5" w:tooltip="https://esnsi.gosuslugi.ru/classifiers/14526/">
        <w:r>
          <w:rPr>
            <w:rStyle w:val="Hyperlink"/>
            <w:rFonts w:eastAsia="Times New Roman" w:cs="Times New Roman"/>
            <w:color w:val="0000EE"/>
            <w:sz w:val="28"/>
            <w:szCs w:val="28"/>
            <w:u w:val="single"/>
          </w:rPr>
          <w:t>Классификатора полномочий</w:t>
        </w:r>
      </w:hyperlink>
      <w:r>
        <w:rPr>
          <w:rFonts w:eastAsia="Times New Roman" w:cs="Times New Roman"/>
          <w:color w:val="000000"/>
          <w:sz w:val="28"/>
          <w:szCs w:val="28"/>
        </w:rPr>
        <w:t>, только в этом случае они будут в машиночитаемом виде;</w:t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перед выпуском МЧД необходимо предварительно сверится с Кодом и Наименованием полномочия ЕСНСИ в справочнике по пути: Модуль формирования заявок на регистрацию / Справочники / "Подсистема (Модуль/Компонент/Полномочие)", чтобы определится с нужным полномочием и в какой конечный реестр оно дает доступ для работы.</w:t>
      </w:r>
    </w:p>
    <w:p>
      <w:pPr>
        <w:pStyle w:val="ListParagraph"/>
        <w:numPr>
          <w:ilvl w:val="0"/>
          <w:numId w:val="0"/>
        </w:numPr>
        <w:spacing w:before="0" w:after="0"/>
        <w:ind w:hanging="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ListParagraph"/>
        <w:numPr>
          <w:ilvl w:val="0"/>
          <w:numId w:val="2"/>
        </w:numPr>
        <w:spacing w:before="0" w:after="0"/>
        <w:ind w:hanging="36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код полномочия из классификатора ("CODE") соответствует значению в графе "Код ЕСНСИ" справочника "Подсистема (Модуль/Компонент/Полномочие)".</w:t>
      </w:r>
    </w:p>
    <w:p>
      <w:pPr>
        <w:pStyle w:val="ListParagraph"/>
        <w:numPr>
          <w:ilvl w:val="0"/>
          <w:numId w:val="0"/>
        </w:numPr>
        <w:spacing w:before="0" w:after="0"/>
        <w:ind w:hanging="0" w:left="709" w:right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Если полномочия ГИИС ЭБ недоступны, а в Классификаторе они есть, то необходимо обращаться в техническую поддержку того сервиса, где не удается выбрать нужные полномочия: ФНС, Контур и т. д.</w:t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При возникновении трудностей с загрузкой необходимо приложить в обращении в техподдержку файл доверенности с подписью.</w:t>
      </w:r>
    </w:p>
    <w:p>
      <w:pPr>
        <w:pStyle w:val="DStyleparagraph"/>
        <w:spacing w:before="0" w:after="0"/>
        <w:ind w:firstLine="708" w:left="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Если полномочия уже были назначены ранее, то они действуют. Предъявлять МЧД требуется к новым добавляемым полномочиям.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swiss"/>
    <w:pitch w:val="variable"/>
  </w:font>
  <w:font w:name="Open Sans">
    <w:charset w:val="01"/>
    <w:family w:val="auto"/>
    <w:pitch w:val="variable"/>
  </w:font>
  <w:font w:name="Tempora LGC Uni">
    <w:charset w:val="01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20"/>
        <w:color w:val="000000"/>
      </w:rPr>
    </w:lvl>
    <w:lvl w:ilvl="1">
      <w:start w:val="1"/>
      <w:isLgl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20"/>
        <w:color w:val="000000"/>
      </w:rPr>
    </w:lvl>
    <w:lvl w:ilvl="2">
      <w:start w:val="1"/>
      <w:isLgl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20"/>
        <w:color w:val="000000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20"/>
        <w:color w:val="000000"/>
      </w:rPr>
    </w:lvl>
    <w:lvl w:ilvl="4">
      <w:start w:val="1"/>
      <w:isLgl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20"/>
        <w:color w:val="000000"/>
      </w:rPr>
    </w:lvl>
    <w:lvl w:ilvl="5">
      <w:start w:val="1"/>
      <w:isLgl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20"/>
        <w:color w:val="000000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20"/>
        <w:color w:val="000000"/>
      </w:rPr>
    </w:lvl>
    <w:lvl w:ilvl="7">
      <w:start w:val="1"/>
      <w:isLgl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20"/>
        <w:color w:val="000000"/>
      </w:rPr>
    </w:lvl>
    <w:lvl w:ilvl="8">
      <w:start w:val="1"/>
      <w:isLgl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20"/>
        <w:color w:val="000000"/>
      </w:rPr>
    </w:lvl>
  </w:abstractNum>
  <w:abstractNum w:abstractNumId="2">
    <w:lvl w:ilvl="0">
      <w:start w:val="1"/>
      <w:isLgl/>
      <w:numFmt w:val="bullet"/>
      <w:lvlText w:val="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  <w:sz w:val="18"/>
        <w:color w:val="000000"/>
      </w:rPr>
    </w:lvl>
    <w:lvl w:ilvl="1">
      <w:start w:val="1"/>
      <w:isLgl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z w:val="18"/>
        <w:color w:val="000000"/>
      </w:rPr>
    </w:lvl>
    <w:lvl w:ilvl="2">
      <w:start w:val="1"/>
      <w:isLgl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  <w:sz w:val="18"/>
        <w:color w:val="000000"/>
      </w:rPr>
    </w:lvl>
    <w:lvl w:ilvl="3">
      <w:start w:val="1"/>
      <w:isLgl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  <w:sz w:val="18"/>
        <w:color w:val="000000"/>
      </w:rPr>
    </w:lvl>
    <w:lvl w:ilvl="4">
      <w:start w:val="1"/>
      <w:isLgl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  <w:sz w:val="18"/>
        <w:color w:val="000000"/>
      </w:rPr>
    </w:lvl>
    <w:lvl w:ilvl="5">
      <w:start w:val="1"/>
      <w:isLgl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  <w:sz w:val="18"/>
        <w:color w:val="000000"/>
      </w:rPr>
    </w:lvl>
    <w:lvl w:ilvl="6">
      <w:start w:val="1"/>
      <w:isLgl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  <w:sz w:val="18"/>
        <w:color w:val="000000"/>
      </w:rPr>
    </w:lvl>
    <w:lvl w:ilvl="7">
      <w:start w:val="1"/>
      <w:isLgl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  <w:sz w:val="18"/>
        <w:color w:val="000000"/>
      </w:rPr>
    </w:lvl>
    <w:lvl w:ilvl="8">
      <w:start w:val="1"/>
      <w:isLgl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  <w:sz w:val="18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Droid Sans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"/>
      <w:color w:val="auto"/>
      <w:kern w:val="0"/>
      <w:sz w:val="20"/>
      <w:szCs w:val="20"/>
      <w:lang w:val="ru-RU" w:eastAsia="zh-CN" w:bidi="hi-I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35"/>
    <w:qFormat/>
    <w:rPr>
      <w:b/>
      <w:bCs/>
      <w:color w:themeColor="accent1" w:val="4F81BD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llowedHyperlink">
    <w:name w:val="FollowedHyperlink"/>
    <w:rPr>
      <w:color w:val="800000"/>
      <w:u w:val="single"/>
    </w:rPr>
  </w:style>
  <w:style w:type="paragraph" w:styleId="Style7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Open Sans" w:hAnsi="Open Sans" w:eastAsia="DejaVu Sans" w:cs="Droid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 w:customStyle="1">
    <w:name w:val="List"/>
    <w:basedOn w:val="Textbody"/>
    <w:pPr/>
    <w:rPr>
      <w:rFonts w:cs="Droid Sans Devanagari"/>
    </w:rPr>
  </w:style>
  <w:style w:type="paragraph" w:styleId="Caption" w:customStyle="1">
    <w:name w:val="caption"/>
    <w:basedOn w:val="Standard"/>
    <w:qFormat/>
    <w:pPr>
      <w:spacing w:before="120" w:after="120"/>
    </w:pPr>
    <w:rPr>
      <w:rFonts w:cs="Droid Sans Devanagari"/>
      <w:i/>
      <w:iCs/>
      <w:sz w:val="24"/>
      <w:szCs w:val="24"/>
    </w:rPr>
  </w:style>
  <w:style w:type="paragraph" w:styleId="Style8" w:customStyle="1">
    <w:name w:val="Указатель"/>
    <w:basedOn w:val="Standard"/>
    <w:qFormat/>
    <w:pPr/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ahoma" w:cs="Droid Sans"/>
      <w:color w:val="auto"/>
      <w:kern w:val="0"/>
      <w:sz w:val="20"/>
      <w:szCs w:val="20"/>
      <w:lang w:val="ru-RU" w:eastAsia="zh-CN"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ahoma" w:cs="Droid Sans"/>
      <w:color w:val="auto"/>
      <w:kern w:val="0"/>
      <w:sz w:val="20"/>
      <w:szCs w:val="20"/>
      <w:lang w:val="ru-RU" w:eastAsia="zh-CN" w:bidi="hi-IN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DStyleparagraph" w:default="1">
    <w:name w:val="DStyle_paragraph"/>
    <w:qFormat/>
    <w:pPr>
      <w:widowControl/>
      <w:suppressAutoHyphens w:val="true"/>
      <w:bidi w:val="0"/>
      <w:spacing w:before="0" w:after="0"/>
      <w:jc w:val="left"/>
    </w:pPr>
    <w:rPr>
      <w:rFonts w:ascii="Tempora LGC Uni" w:hAnsi="Tempora LGC Uni" w:eastAsia="DejaVu Sans" w:cs="Droid Sans Devanagari"/>
      <w:color w:val="auto"/>
      <w:kern w:val="0"/>
      <w:sz w:val="24"/>
      <w:szCs w:val="24"/>
      <w:lang w:val="ru-RU" w:eastAsia="zh-CN" w:bidi="hi-IN"/>
    </w:rPr>
  </w:style>
  <w:style w:type="paragraph" w:styleId="Standard" w:customStyle="1">
    <w:name w:val="Standard"/>
    <w:basedOn w:val="DStyleparagraph"/>
    <w:qFormat/>
    <w:pPr/>
    <w:rPr/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numbering" w:styleId="Style9" w:default="1">
    <w:name w:val="Без списка"/>
    <w:uiPriority w:val="99"/>
    <w:semiHidden/>
    <w:unhideWhenUsed/>
    <w:qFormat/>
  </w:style>
  <w:style w:type="table" w:styleId="48">
    <w:name w:val="Table Grid"/>
    <w:basedOn w:val="3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31">
    <w:name w:val="Normal Table"/>
    <w:uiPriority w:val="99"/>
    <w:semiHidden/>
    <w:unhideWhenUsed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4d.nalog.gov.ru/emchd/create" TargetMode="External"/><Relationship Id="rId3" Type="http://schemas.openxmlformats.org/officeDocument/2006/relationships/hyperlink" Target="https://partners.gosuslugi.ru/catalog/attorney" TargetMode="External"/><Relationship Id="rId4" Type="http://schemas.openxmlformats.org/officeDocument/2006/relationships/hyperlink" Target="https://esnsi.gosuslugi.ru/classifiers/14526/" TargetMode="External"/><Relationship Id="rId5" Type="http://schemas.openxmlformats.org/officeDocument/2006/relationships/hyperlink" Target="https://esnsi.gosuslugi.ru/classifiers/14526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LibreOffice/24.8.4.1$Linux_X86_64 LibreOffice_project/480$Build-1</Application>
  <AppVersion>15.0000</AppVersion>
  <Pages>1</Pages>
  <Words>234</Words>
  <Characters>1622</Characters>
  <CharactersWithSpaces>1836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2025-03-21T13:41:03Z</dcterms:created>
  <dc:creator/>
  <dc:description/>
  <dc:language>ru-RU</dc:language>
  <cp:lastModifiedBy/>
  <dcterms:modified xsi:type="dcterms:W3CDTF">2025-09-12T17:14:55Z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